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21 7 vom 12. Mai 2021</w:t>
      </w:r>
    </w:p>
    <w:p>
      <w:r>
        <w:t>VS Kantonsgericht, 2021-05-12, FR</w:t>
      </w:r>
    </w:p>
    <w:p>
      <w:r>
        <w:rPr>
          <w:b/>
        </w:rPr>
        <w:t xml:space="preserve">Quelle: </w:t>
      </w:r>
      <w:r>
        <w:t>https://mcp.opencaselaw.ch/entscheid/vs_gerichte_A1 21 7</w:t>
      </w:r>
    </w:p>
    <w:p>
      <w:r>
        <w:t>FR: VS_GERICHTE A1 21 7 du 12 mai 2021</w:t>
      </w:r>
    </w:p>
    <w:p>
      <w:r>
        <w:t>IT: VS_GERICHTE A1 21 7 del 12 maggio 2021</w:t>
      </w:r>
    </w:p>
    <w:p>
      <w:pPr>
        <w:pStyle w:val="Heading2"/>
      </w:pPr>
      <w:r>
        <w:t>Regeste</w:t>
      </w:r>
    </w:p>
    <w:p>
      <w:r>
        <w:t>A1 21 7 ARRÊT DU 12 MAI 2021 Tribunal cantonal du Valais Cour de droit public Composition : Christophe Joris, président, Jean-Bernard Fournier et Thomas Brunner, juges en la cause X _________, recourante contre Y _________, autorité attaquée, Z _________ AG, tiers concerné, représentée par Maître M _________ et Maître N _________ (marché public) recours de droit administratif contre la décision du 15 décembre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marché en cause ressortit au droit cantonal qui prévoit que l’adjudication est une décision à notifier à tous les soumissionnaires et à publier dans le B. O. et sur le site simap.ch (art. 34 al. 1, 4 et 5 de l’ordonnance du 11 juin 2003 sur les marchés publics – Omp ; RS/VS 726.100, cf. art. 2 et 15 de la loi du 8 mai 2003 concernant l’adhésion du canton à l’accord intercantonal du 25 novembre 1994 sur les marchés publics – AIMP ; RS/VS 726.1 ; v. aussi art. 13 lit. a et 15 de cet accord). La notification doit, sauf exceptions irrelevantes ici, se faire dans un écrit adressé à la partie concernée à qui doivent être indiqués la voie de recours ordinaire et le délai de recours (art. 34 al. 1 Omp et 29 al. 1 et</w:t>
      </w:r>
    </w:p>
    <w:p>
      <w:r>
        <w:rPr>
          <w:b/>
        </w:rPr>
        <w:t>E. 3</w:t>
      </w:r>
    </w:p>
    <w:p>
      <w:r>
        <w:t>de la loi du 6 octobre 1976 sur la procédure et la juridiction administratives - LPJA ; RS/VS 172.6).</w:t>
      </w:r>
    </w:p>
    <w:p>
      <w:r>
        <w:t>En l’occurrence, la seule notification personnelle reçue par X _________ est le courriel du</w:t>
      </w:r>
    </w:p>
    <w:p>
      <w:r>
        <w:rPr>
          <w:b/>
        </w:rPr>
        <w:t>E. 6</w:t>
      </w:r>
    </w:p>
    <w:p>
      <w:r>
        <w:t>La recourante soutient que la chambre anéchoïque offerte par Z _________ a le désavantage d’impliquer « la fourniture d’un plateau en bois recouverts d’absorbants ferrites, solution contre-indiquée pour les mesures CEM ». Cette critique, sommaire et non étayée, n’est pas conformes aux règles de motivation des art. 80 al. 1 lit. c, 47 et 48 LPJA (art. 16 Lmp).</w:t>
      </w:r>
    </w:p>
    <w:p>
      <w:r>
        <w:rPr>
          <w:b/>
        </w:rPr>
        <w:t>E. 7</w:t>
      </w:r>
    </w:p>
    <w:p>
      <w:r>
        <w:t>Celle consistant à prétendre que l’intimée avait omis d’offrir un faux plancher taxé d’impératif à l’annexe 3 précitée est infondée. La pos. 10 de cette annexe évoque un « double plancher (passage de câbles) » qui figure sous « double floor height 130 mm, max. load 500 kg/m2 » à la p. 2 de l’offre de Z _________ .</w:t>
      </w:r>
    </w:p>
    <w:p>
      <w:r>
        <w:rPr>
          <w:b/>
        </w:rPr>
        <w:t>E. 8</w:t>
      </w:r>
    </w:p>
    <w:p>
      <w:r>
        <w:t>Aucun des griefs de X _________ n’étant de nature à modifier le classement de son offre dans la grille d’évaluation du 15 décembre 2020, le recours est rejeté en tant qu’il est recevable (art. 80 al. 1 let. e et 60 LPJA), sans qu’on doive s’attarder sur la question de savoir si elle a droit à une amélioration de sa note 4 au critère de l’expérience et du support technique (10%). Dans l’affirmative, cette note passerait à 5 et se traduirait par un dixième supplémentaire, la note finale de Z _________ restant à 4.4 et celle de la recourante progressant de 4.2 à 4.3, sans inversion de rang.</w:t>
      </w:r>
    </w:p>
    <w:p>
      <w:r>
        <w:rPr>
          <w:b/>
        </w:rPr>
        <w:t>E. 9</w:t>
      </w:r>
    </w:p>
    <w:p>
      <w:r>
        <w:t>X _________ paiera un émolument de justice de 2500 fr. fixé notamment en tenant compte des principes de la couverture des frais et de l’équivalence des prestations. Elle versera en outre à Z _________ 2500 fr. de dépens (TVA et débours compris), calculés au vu du temps et du travail ordinairement à investir par un avocat dont la mandante</w:t>
      </w:r>
    </w:p>
    <w:p>
      <w:r>
        <w:t>- 7 - résiste, par un mémoire de 7 pages, à un recours simple dans une affaire de complexité moyenne, ainsi que de la valeur du marché litigieux (plus de 200’00 fr.) (art. 89 al. 1, 91 al. 1 et 2 LPJA ; art. 3 al. 3, 4, 11, 13 al. 1, 25, 27, 39 de la loi du 11 février 2009 fixant le tarif des frais et dépens devant les autorités judiciaires ou administratives – LTar ; RS/VS 173.8).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